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46BF35EF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22202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1E1305E9" w14:textId="77777777" w:rsidR="00452D1F" w:rsidRDefault="00452D1F" w:rsidP="00452D1F">
      <w:pPr>
        <w:pStyle w:val="centercontent"/>
        <w:jc w:val="left"/>
        <w:rPr>
          <w:rFonts w:hAnsi="Arial" w:cs="Arial"/>
          <w:color w:val="000000" w:themeColor="text1"/>
          <w:sz w:val="24"/>
          <w:szCs w:val="24"/>
        </w:rPr>
      </w:pPr>
    </w:p>
    <w:p w14:paraId="32D9B80B" w14:textId="79F06DC6" w:rsidR="00452D1F" w:rsidRPr="001A35A3" w:rsidRDefault="00452D1F" w:rsidP="00452D1F">
      <w:pPr>
        <w:pStyle w:val="centercontent"/>
        <w:jc w:val="left"/>
        <w:rPr>
          <w:rFonts w:hAnsi="Arial" w:cs="Arial"/>
          <w:color w:val="000000" w:themeColor="text1"/>
          <w:sz w:val="24"/>
          <w:szCs w:val="24"/>
        </w:rPr>
      </w:pPr>
      <w:r w:rsidRPr="00A425CB">
        <w:rPr>
          <w:rFonts w:hAnsi="Arial" w:cs="Arial"/>
          <w:color w:val="000000" w:themeColor="text1"/>
          <w:sz w:val="24"/>
          <w:szCs w:val="24"/>
        </w:rPr>
        <w:t>Unaddressed Print and Door Drops Category Specific Question: Please indicate if and how you used JICMAIL data to support your work. (</w:t>
      </w:r>
      <w:r w:rsidR="002B0F06">
        <w:rPr>
          <w:rFonts w:hAnsi="Arial" w:cs="Arial"/>
          <w:color w:val="000000" w:themeColor="text1"/>
          <w:sz w:val="24"/>
          <w:szCs w:val="24"/>
        </w:rPr>
        <w:t>1</w:t>
      </w:r>
      <w:r w:rsidRPr="00A425CB">
        <w:rPr>
          <w:rFonts w:hAnsi="Arial" w:cs="Arial"/>
          <w:color w:val="000000" w:themeColor="text1"/>
          <w:sz w:val="24"/>
          <w:szCs w:val="24"/>
        </w:rPr>
        <w:t>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452D1F" w:rsidRPr="005C10ED" w14:paraId="7A067777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4A6C" w14:textId="77777777" w:rsidR="00452D1F" w:rsidRDefault="00452D1F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11F591" w14:textId="77777777" w:rsidR="00452D1F" w:rsidRPr="005C10ED" w:rsidRDefault="00452D1F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D2F3F8" w14:textId="77777777" w:rsidR="00FA7442" w:rsidRDefault="00FA7442" w:rsidP="1B7814CF">
      <w:pPr>
        <w:pStyle w:val="centercontent"/>
        <w:spacing w:before="360" w:after="0"/>
        <w:jc w:val="left"/>
        <w:rPr>
          <w:rFonts w:hAnsi="Arial" w:cs="Arial"/>
          <w:b/>
          <w:color w:val="000000"/>
          <w:sz w:val="24"/>
          <w:szCs w:val="24"/>
        </w:rPr>
      </w:pPr>
    </w:p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lastRenderedPageBreak/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B0347" w14:textId="77777777" w:rsidR="001415B7" w:rsidRDefault="001415B7" w:rsidP="00E27712">
      <w:pPr>
        <w:spacing w:after="0" w:line="240" w:lineRule="auto"/>
      </w:pPr>
      <w:r>
        <w:separator/>
      </w:r>
    </w:p>
  </w:endnote>
  <w:endnote w:type="continuationSeparator" w:id="0">
    <w:p w14:paraId="54B41473" w14:textId="77777777" w:rsidR="001415B7" w:rsidRDefault="001415B7" w:rsidP="00E27712">
      <w:pPr>
        <w:spacing w:after="0" w:line="240" w:lineRule="auto"/>
      </w:pPr>
      <w:r>
        <w:continuationSeparator/>
      </w:r>
    </w:p>
  </w:endnote>
  <w:endnote w:type="continuationNotice" w:id="1">
    <w:p w14:paraId="4B8BBD41" w14:textId="77777777" w:rsidR="001415B7" w:rsidRDefault="00141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DDC12" w14:textId="77777777" w:rsidR="001415B7" w:rsidRDefault="001415B7" w:rsidP="00E27712">
      <w:pPr>
        <w:spacing w:after="0" w:line="240" w:lineRule="auto"/>
      </w:pPr>
      <w:r>
        <w:separator/>
      </w:r>
    </w:p>
  </w:footnote>
  <w:footnote w:type="continuationSeparator" w:id="0">
    <w:p w14:paraId="332B228F" w14:textId="77777777" w:rsidR="001415B7" w:rsidRDefault="001415B7" w:rsidP="00E27712">
      <w:pPr>
        <w:spacing w:after="0" w:line="240" w:lineRule="auto"/>
      </w:pPr>
      <w:r>
        <w:continuationSeparator/>
      </w:r>
    </w:p>
  </w:footnote>
  <w:footnote w:type="continuationNotice" w:id="1">
    <w:p w14:paraId="700C74F5" w14:textId="77777777" w:rsidR="001415B7" w:rsidRDefault="001415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2202F"/>
    <w:rsid w:val="00246627"/>
    <w:rsid w:val="00265827"/>
    <w:rsid w:val="0027574B"/>
    <w:rsid w:val="00282455"/>
    <w:rsid w:val="002960B9"/>
    <w:rsid w:val="002A0084"/>
    <w:rsid w:val="002A3090"/>
    <w:rsid w:val="002A3FFE"/>
    <w:rsid w:val="002B0F06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52D1F"/>
    <w:rsid w:val="004633E4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Props1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208</cp:revision>
  <dcterms:created xsi:type="dcterms:W3CDTF">2023-03-14T10:03:00Z</dcterms:created>
  <dcterms:modified xsi:type="dcterms:W3CDTF">2024-07-01T11:10:00Z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